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8F346C">
            <w:pPr>
              <w:spacing w:after="0" w:line="240" w:lineRule="auto"/>
              <w:rPr>
                <w:rFonts w:ascii="Times New Roman" w:hAnsi="Times New Roman"/>
                <w:b/>
                <w:sz w:val="24"/>
                <w:szCs w:val="24"/>
              </w:rPr>
            </w:pPr>
            <w:r w:rsidRPr="00B34992">
              <w:rPr>
                <w:rFonts w:ascii="Times New Roman" w:hAnsi="Times New Roman"/>
                <w:sz w:val="24"/>
                <w:szCs w:val="24"/>
              </w:rPr>
              <w:t>«</w:t>
            </w:r>
            <w:r w:rsidR="00B34992" w:rsidRPr="00B34992">
              <w:rPr>
                <w:rFonts w:ascii="Times New Roman" w:hAnsi="Times New Roman"/>
                <w:sz w:val="24"/>
                <w:szCs w:val="24"/>
              </w:rPr>
              <w:t>12</w:t>
            </w:r>
            <w:r w:rsidRPr="00B34992">
              <w:rPr>
                <w:rFonts w:ascii="Times New Roman" w:hAnsi="Times New Roman"/>
                <w:sz w:val="24"/>
                <w:szCs w:val="24"/>
              </w:rPr>
              <w:t>»</w:t>
            </w:r>
            <w:r w:rsidR="00521B29" w:rsidRPr="00B34992">
              <w:rPr>
                <w:rFonts w:ascii="Times New Roman" w:hAnsi="Times New Roman"/>
                <w:sz w:val="24"/>
                <w:szCs w:val="24"/>
              </w:rPr>
              <w:t xml:space="preserve"> </w:t>
            </w:r>
            <w:r w:rsidR="00CC775A" w:rsidRPr="00B34992">
              <w:rPr>
                <w:rFonts w:ascii="Times New Roman" w:hAnsi="Times New Roman"/>
                <w:sz w:val="24"/>
                <w:szCs w:val="24"/>
              </w:rPr>
              <w:t>квітня 2021 року №</w:t>
            </w:r>
            <w:r w:rsidR="008F346C">
              <w:rPr>
                <w:rFonts w:ascii="Times New Roman" w:hAnsi="Times New Roman"/>
                <w:sz w:val="24"/>
                <w:szCs w:val="24"/>
              </w:rPr>
              <w:t>40</w:t>
            </w:r>
            <w:r w:rsidR="00CC775A" w:rsidRPr="00B34992">
              <w:rPr>
                <w:rFonts w:ascii="Times New Roman" w:hAnsi="Times New Roman"/>
                <w:sz w:val="24"/>
                <w:szCs w:val="24"/>
              </w:rPr>
              <w:t xml:space="preserve"> </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945700" w:rsidRDefault="00D779EC" w:rsidP="00A75FC4">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ди державної служби категорії «Б</w:t>
      </w:r>
      <w:r w:rsidRPr="007D31AE">
        <w:rPr>
          <w:rFonts w:ascii="Times New Roman" w:hAnsi="Times New Roman"/>
          <w:b/>
          <w:bCs/>
          <w:color w:val="000000"/>
          <w:sz w:val="24"/>
          <w:szCs w:val="24"/>
        </w:rPr>
        <w:t>» -</w:t>
      </w:r>
      <w:r w:rsidRPr="007D31AE">
        <w:rPr>
          <w:rFonts w:ascii="Times New Roman" w:hAnsi="Times New Roman"/>
          <w:sz w:val="24"/>
          <w:szCs w:val="24"/>
        </w:rPr>
        <w:t xml:space="preserve"> </w:t>
      </w:r>
    </w:p>
    <w:p w:rsidR="004D7A03" w:rsidRPr="00B34992" w:rsidRDefault="004D7A03"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hAnsi="Times New Roman"/>
          <w:b/>
          <w:sz w:val="24"/>
          <w:szCs w:val="24"/>
        </w:rPr>
        <w:t xml:space="preserve">начальника </w:t>
      </w:r>
      <w:r w:rsidR="00A75FC4" w:rsidRPr="00B34992">
        <w:rPr>
          <w:rFonts w:ascii="Times New Roman" w:eastAsia="Times New Roman" w:hAnsi="Times New Roman"/>
          <w:b/>
          <w:sz w:val="24"/>
          <w:szCs w:val="24"/>
          <w:lang w:eastAsia="ru-RU"/>
        </w:rPr>
        <w:t xml:space="preserve">відділу </w:t>
      </w:r>
      <w:proofErr w:type="spellStart"/>
      <w:r w:rsidR="00521B29" w:rsidRPr="00B34992">
        <w:rPr>
          <w:rFonts w:ascii="Times New Roman" w:eastAsia="Times New Roman" w:hAnsi="Times New Roman"/>
          <w:b/>
          <w:sz w:val="24"/>
          <w:szCs w:val="24"/>
          <w:lang w:eastAsia="ru-RU"/>
        </w:rPr>
        <w:t>режимно</w:t>
      </w:r>
      <w:proofErr w:type="spellEnd"/>
      <w:r w:rsidR="00521B29" w:rsidRPr="00B34992">
        <w:rPr>
          <w:rFonts w:ascii="Times New Roman" w:eastAsia="Times New Roman" w:hAnsi="Times New Roman"/>
          <w:b/>
          <w:sz w:val="24"/>
          <w:szCs w:val="24"/>
          <w:lang w:eastAsia="ru-RU"/>
        </w:rPr>
        <w:t>-секретної частини</w:t>
      </w:r>
      <w:r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490EE4">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44B59">
              <w:rPr>
                <w:rFonts w:ascii="Times New Roman" w:eastAsia="Times New Roman" w:hAnsi="Times New Roman"/>
                <w:sz w:val="24"/>
                <w:szCs w:val="24"/>
                <w:lang w:eastAsia="ru-RU"/>
              </w:rPr>
              <w:t xml:space="preserve">Керівництво та організація роботи </w:t>
            </w:r>
            <w:proofErr w:type="spellStart"/>
            <w:r w:rsidRPr="00444B59">
              <w:rPr>
                <w:rFonts w:ascii="Times New Roman" w:eastAsia="Times New Roman" w:hAnsi="Times New Roman"/>
                <w:sz w:val="24"/>
                <w:szCs w:val="24"/>
                <w:lang w:eastAsia="ru-RU"/>
              </w:rPr>
              <w:t>режимно</w:t>
            </w:r>
            <w:proofErr w:type="spellEnd"/>
            <w:r w:rsidRPr="00444B59">
              <w:rPr>
                <w:rFonts w:ascii="Times New Roman" w:eastAsia="Times New Roman" w:hAnsi="Times New Roman"/>
                <w:sz w:val="24"/>
                <w:szCs w:val="24"/>
                <w:lang w:eastAsia="ru-RU"/>
              </w:rPr>
              <w:t xml:space="preserve">-таємної частини </w:t>
            </w:r>
            <w:r w:rsidR="005C3AF4">
              <w:rPr>
                <w:rFonts w:ascii="Times New Roman" w:eastAsia="Times New Roman" w:hAnsi="Times New Roman"/>
                <w:sz w:val="24"/>
                <w:szCs w:val="24"/>
                <w:lang w:eastAsia="ru-RU"/>
              </w:rPr>
              <w:t xml:space="preserve">обласної </w:t>
            </w:r>
            <w:r w:rsidRPr="00444B59">
              <w:rPr>
                <w:rFonts w:ascii="Times New Roman" w:eastAsia="Times New Roman" w:hAnsi="Times New Roman"/>
                <w:sz w:val="24"/>
                <w:szCs w:val="24"/>
                <w:lang w:eastAsia="ru-RU"/>
              </w:rPr>
              <w:t xml:space="preserve">прокуратури. Розроблення та здійснення заходів щодо забезпечення режиму секретності, постійного контролю за їх дотриманням під час проведення всіх видів робіт з матеріальними носіями секретної інформації. </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444B59">
              <w:rPr>
                <w:rFonts w:ascii="Times New Roman" w:eastAsia="Times New Roman" w:hAnsi="Times New Roman"/>
                <w:sz w:val="24"/>
                <w:szCs w:val="24"/>
                <w:lang w:eastAsia="ru-RU"/>
              </w:rPr>
              <w:t xml:space="preserve">Розроблення  інструкцій, положень та інших організаційно-методичних документів, що регламентують діяльність, пов’язану із забезпеченням охорони державної таємниці в </w:t>
            </w:r>
            <w:r w:rsidR="005C3AF4">
              <w:rPr>
                <w:rFonts w:ascii="Times New Roman" w:eastAsia="Times New Roman" w:hAnsi="Times New Roman"/>
                <w:sz w:val="24"/>
                <w:szCs w:val="24"/>
                <w:lang w:eastAsia="ru-RU"/>
              </w:rPr>
              <w:t xml:space="preserve">обласній </w:t>
            </w:r>
            <w:r w:rsidRPr="00444B59">
              <w:rPr>
                <w:rFonts w:ascii="Times New Roman" w:eastAsia="Times New Roman" w:hAnsi="Times New Roman"/>
                <w:sz w:val="24"/>
                <w:szCs w:val="24"/>
                <w:lang w:eastAsia="ru-RU"/>
              </w:rPr>
              <w:t>прокуратурі.</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44B59">
              <w:rPr>
                <w:rFonts w:ascii="Times New Roman" w:eastAsia="Times New Roman" w:hAnsi="Times New Roman"/>
                <w:sz w:val="24"/>
                <w:szCs w:val="24"/>
                <w:lang w:eastAsia="ru-RU"/>
              </w:rPr>
              <w:t xml:space="preserve">Організація роботи із секретного діловодства та архівного зберігання секретних документів. Участь у роботі експертних комісій </w:t>
            </w:r>
            <w:r w:rsidR="005C3AF4">
              <w:rPr>
                <w:rFonts w:ascii="Times New Roman" w:eastAsia="Times New Roman" w:hAnsi="Times New Roman"/>
                <w:sz w:val="24"/>
                <w:szCs w:val="24"/>
                <w:lang w:eastAsia="ru-RU"/>
              </w:rPr>
              <w:t xml:space="preserve">обласної </w:t>
            </w:r>
            <w:r w:rsidRPr="00444B59">
              <w:rPr>
                <w:rFonts w:ascii="Times New Roman" w:eastAsia="Times New Roman" w:hAnsi="Times New Roman"/>
                <w:sz w:val="24"/>
                <w:szCs w:val="24"/>
                <w:lang w:eastAsia="ru-RU"/>
              </w:rPr>
              <w:t>прокуратури та   знищенні матеріальних носіїв секретної інформації.</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44B59">
              <w:rPr>
                <w:rFonts w:ascii="Times New Roman" w:eastAsia="Times New Roman" w:hAnsi="Times New Roman"/>
                <w:sz w:val="24"/>
                <w:szCs w:val="24"/>
                <w:lang w:eastAsia="ru-RU"/>
              </w:rPr>
              <w:t xml:space="preserve">Розроблення разом з іншими структурними підрозділами на основі вимог законодавства та за результатами вивчення стану діяльності перспективних та поточних планів охорони державної таємниці, а також планів заходів щодо вирішення окремих питань забезпечення  режиму секретності, які затверджуються </w:t>
            </w:r>
            <w:r w:rsidR="005C3AF4">
              <w:rPr>
                <w:rFonts w:ascii="Times New Roman" w:eastAsia="Times New Roman" w:hAnsi="Times New Roman"/>
                <w:sz w:val="24"/>
                <w:szCs w:val="24"/>
                <w:lang w:eastAsia="ru-RU"/>
              </w:rPr>
              <w:t>керівником обласної прокуратури.</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44B59">
              <w:rPr>
                <w:rFonts w:ascii="Times New Roman" w:eastAsia="Times New Roman" w:hAnsi="Times New Roman"/>
                <w:sz w:val="24"/>
                <w:szCs w:val="24"/>
                <w:lang w:eastAsia="ru-RU"/>
              </w:rPr>
              <w:t>Організація та здійснення контролю за виконанням в прокуратурі  вимог законодавства у сфері охорони держаної таємниці. Розроблення заходів щодо виявлення і закриття можливих каналів витоку секретної інформації. Забезпечення проведення заходів щодо недопущення необґрунтованого допуску та доступу осіб до секретної інформації.</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444B59">
              <w:rPr>
                <w:rFonts w:ascii="Times New Roman" w:eastAsia="Times New Roman" w:hAnsi="Times New Roman"/>
                <w:sz w:val="24"/>
                <w:szCs w:val="24"/>
                <w:lang w:eastAsia="ru-RU"/>
              </w:rPr>
              <w:t>Розроблення разом із керівниками структурних підрозділів переліку посад працівників, перебування на  яких дає право посадовим особам надавати матеріальним носіям інформації гриф секретності.</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444B59">
              <w:rPr>
                <w:rFonts w:ascii="Times New Roman" w:eastAsia="Times New Roman" w:hAnsi="Times New Roman"/>
                <w:sz w:val="24"/>
                <w:szCs w:val="24"/>
                <w:lang w:eastAsia="ru-RU"/>
              </w:rPr>
              <w:t xml:space="preserve">Організація навчання працівників </w:t>
            </w:r>
            <w:r w:rsidR="005C3AF4">
              <w:rPr>
                <w:rFonts w:ascii="Times New Roman" w:eastAsia="Times New Roman" w:hAnsi="Times New Roman"/>
                <w:sz w:val="24"/>
                <w:szCs w:val="24"/>
                <w:lang w:eastAsia="ru-RU"/>
              </w:rPr>
              <w:t xml:space="preserve">обласної </w:t>
            </w:r>
            <w:r w:rsidRPr="00444B59">
              <w:rPr>
                <w:rFonts w:ascii="Times New Roman" w:eastAsia="Times New Roman" w:hAnsi="Times New Roman"/>
                <w:sz w:val="24"/>
                <w:szCs w:val="24"/>
                <w:lang w:eastAsia="ru-RU"/>
              </w:rPr>
              <w:t>прокуратури, діяльність яких пов’язана з державною таємницею, а також перевірка знань ними вимог нормативних документів з питань охорони державної таємниці.</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444B59">
              <w:rPr>
                <w:rFonts w:ascii="Times New Roman" w:eastAsia="Times New Roman" w:hAnsi="Times New Roman"/>
                <w:sz w:val="24"/>
                <w:szCs w:val="24"/>
                <w:lang w:eastAsia="ru-RU"/>
              </w:rPr>
              <w:t xml:space="preserve">Проведення у встановленому порядку службових розслідувань та вимагання від працівників </w:t>
            </w:r>
            <w:r w:rsidR="005C3AF4">
              <w:rPr>
                <w:rFonts w:ascii="Times New Roman" w:eastAsia="Times New Roman" w:hAnsi="Times New Roman"/>
                <w:sz w:val="24"/>
                <w:szCs w:val="24"/>
                <w:lang w:eastAsia="ru-RU"/>
              </w:rPr>
              <w:t xml:space="preserve">обласної </w:t>
            </w:r>
            <w:r w:rsidRPr="00444B59">
              <w:rPr>
                <w:rFonts w:ascii="Times New Roman" w:eastAsia="Times New Roman" w:hAnsi="Times New Roman"/>
                <w:sz w:val="24"/>
                <w:szCs w:val="24"/>
                <w:lang w:eastAsia="ru-RU"/>
              </w:rPr>
              <w:t>прокуратури письмових пояснень щодо фактів розголошення ними секретної інформації, втрати матеріальних носіїв секретної інформації, а також інших порушень режиму секретності.</w:t>
            </w:r>
          </w:p>
          <w:p w:rsidR="00444B59" w:rsidRPr="00444B59" w:rsidRDefault="00444B59" w:rsidP="00444B59">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44B59">
              <w:rPr>
                <w:rFonts w:ascii="Times New Roman" w:eastAsia="Times New Roman" w:hAnsi="Times New Roman"/>
                <w:sz w:val="24"/>
                <w:szCs w:val="24"/>
                <w:lang w:eastAsia="ru-RU"/>
              </w:rPr>
              <w:t>Здій</w:t>
            </w:r>
            <w:r w:rsidR="00B34992">
              <w:rPr>
                <w:rFonts w:ascii="Times New Roman" w:eastAsia="Times New Roman" w:hAnsi="Times New Roman"/>
                <w:sz w:val="24"/>
                <w:szCs w:val="24"/>
                <w:lang w:eastAsia="ru-RU"/>
              </w:rPr>
              <w:t xml:space="preserve">снення методичного керівництва </w:t>
            </w:r>
            <w:r w:rsidRPr="00444B59">
              <w:rPr>
                <w:rFonts w:ascii="Times New Roman" w:eastAsia="Times New Roman" w:hAnsi="Times New Roman"/>
                <w:sz w:val="24"/>
                <w:szCs w:val="24"/>
                <w:lang w:eastAsia="ru-RU"/>
              </w:rPr>
              <w:t xml:space="preserve">за  діяльністю </w:t>
            </w:r>
            <w:proofErr w:type="spellStart"/>
            <w:r w:rsidRPr="00444B59">
              <w:rPr>
                <w:rFonts w:ascii="Times New Roman" w:eastAsia="Times New Roman" w:hAnsi="Times New Roman"/>
                <w:sz w:val="24"/>
                <w:szCs w:val="24"/>
                <w:lang w:eastAsia="ru-RU"/>
              </w:rPr>
              <w:t>режимно</w:t>
            </w:r>
            <w:proofErr w:type="spellEnd"/>
            <w:r w:rsidRPr="00444B59">
              <w:rPr>
                <w:rFonts w:ascii="Times New Roman" w:eastAsia="Times New Roman" w:hAnsi="Times New Roman"/>
                <w:sz w:val="24"/>
                <w:szCs w:val="24"/>
                <w:lang w:eastAsia="ru-RU"/>
              </w:rPr>
              <w:t xml:space="preserve">-секретних органів (далі–РСО) </w:t>
            </w:r>
            <w:r w:rsidR="005C3AF4">
              <w:rPr>
                <w:rFonts w:ascii="Times New Roman" w:eastAsia="Times New Roman" w:hAnsi="Times New Roman"/>
                <w:sz w:val="24"/>
                <w:szCs w:val="24"/>
                <w:lang w:eastAsia="ru-RU"/>
              </w:rPr>
              <w:t xml:space="preserve">окружних </w:t>
            </w:r>
            <w:r w:rsidRPr="00444B59">
              <w:rPr>
                <w:rFonts w:ascii="Times New Roman" w:eastAsia="Times New Roman" w:hAnsi="Times New Roman"/>
                <w:sz w:val="24"/>
                <w:szCs w:val="24"/>
                <w:lang w:eastAsia="ru-RU"/>
              </w:rPr>
              <w:t xml:space="preserve"> </w:t>
            </w:r>
            <w:r w:rsidRPr="00444B59">
              <w:rPr>
                <w:rFonts w:ascii="Times New Roman" w:eastAsia="Times New Roman" w:hAnsi="Times New Roman"/>
                <w:sz w:val="24"/>
                <w:szCs w:val="24"/>
                <w:lang w:eastAsia="ru-RU"/>
              </w:rPr>
              <w:lastRenderedPageBreak/>
              <w:t xml:space="preserve">прокуратур, організація підготовки та безпосереднє здійснення виїздів до </w:t>
            </w:r>
            <w:r w:rsidR="005C3AF4">
              <w:rPr>
                <w:rFonts w:ascii="Times New Roman" w:eastAsia="Times New Roman" w:hAnsi="Times New Roman"/>
                <w:sz w:val="24"/>
                <w:szCs w:val="24"/>
                <w:lang w:eastAsia="ru-RU"/>
              </w:rPr>
              <w:t xml:space="preserve">окружних </w:t>
            </w:r>
            <w:bookmarkStart w:id="1" w:name="_GoBack"/>
            <w:bookmarkEnd w:id="1"/>
            <w:r w:rsidRPr="00444B59">
              <w:rPr>
                <w:rFonts w:ascii="Times New Roman" w:eastAsia="Times New Roman" w:hAnsi="Times New Roman"/>
                <w:sz w:val="24"/>
                <w:szCs w:val="24"/>
                <w:lang w:eastAsia="ru-RU"/>
              </w:rPr>
              <w:t>прокуратур з метою проведення перевірок, надання практичної допомоги.</w:t>
            </w:r>
          </w:p>
          <w:p w:rsidR="00945700" w:rsidRPr="00945700" w:rsidRDefault="00444B59" w:rsidP="00D10F4E">
            <w:pPr>
              <w:tabs>
                <w:tab w:val="left" w:pos="-4111"/>
                <w:tab w:val="left" w:pos="143"/>
                <w:tab w:val="left" w:pos="1276"/>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44B59">
              <w:rPr>
                <w:rFonts w:ascii="Times New Roman" w:eastAsia="Times New Roman" w:hAnsi="Times New Roman"/>
                <w:sz w:val="24"/>
                <w:szCs w:val="24"/>
                <w:lang w:eastAsia="ru-RU"/>
              </w:rPr>
              <w:t xml:space="preserve">Виконання інших обов’язків за дорученням </w:t>
            </w:r>
            <w:r w:rsidR="00D10F4E">
              <w:rPr>
                <w:rFonts w:ascii="Times New Roman" w:eastAsia="Times New Roman" w:hAnsi="Times New Roman"/>
                <w:sz w:val="24"/>
                <w:szCs w:val="24"/>
                <w:lang w:eastAsia="ru-RU"/>
              </w:rPr>
              <w:t xml:space="preserve">керівника обласної прокуратури </w:t>
            </w:r>
            <w:r w:rsidRPr="00444B59">
              <w:rPr>
                <w:rFonts w:ascii="Times New Roman" w:eastAsia="Times New Roman" w:hAnsi="Times New Roman"/>
                <w:sz w:val="24"/>
                <w:szCs w:val="24"/>
                <w:lang w:eastAsia="ru-RU"/>
              </w:rPr>
              <w:t xml:space="preserve"> у межах завдань, що покладаються на РСО.</w:t>
            </w:r>
          </w:p>
        </w:tc>
      </w:tr>
      <w:tr w:rsidR="00D779EC" w:rsidRPr="007D31AE" w:rsidTr="00490EE4">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6823F7">
            <w:pPr>
              <w:tabs>
                <w:tab w:val="left" w:pos="143"/>
              </w:tabs>
              <w:spacing w:after="0"/>
              <w:ind w:firstLine="143"/>
              <w:jc w:val="both"/>
              <w:rPr>
                <w:rFonts w:ascii="Times New Roman" w:hAnsi="Times New Roman"/>
                <w:sz w:val="24"/>
                <w:szCs w:val="24"/>
              </w:rPr>
            </w:pPr>
            <w:r>
              <w:rPr>
                <w:rFonts w:ascii="Times New Roman" w:hAnsi="Times New Roman"/>
                <w:sz w:val="24"/>
                <w:szCs w:val="24"/>
              </w:rPr>
              <w:t xml:space="preserve"> </w:t>
            </w:r>
            <w:r w:rsidR="00DA3F5E">
              <w:rPr>
                <w:rFonts w:ascii="Times New Roman" w:hAnsi="Times New Roman"/>
                <w:sz w:val="24"/>
                <w:szCs w:val="24"/>
              </w:rPr>
              <w:t xml:space="preserve">посадовий оклад – </w:t>
            </w:r>
            <w:r w:rsidR="00521B29">
              <w:rPr>
                <w:rFonts w:ascii="Times New Roman" w:hAnsi="Times New Roman"/>
                <w:sz w:val="24"/>
                <w:szCs w:val="24"/>
              </w:rPr>
              <w:t xml:space="preserve">8800 </w:t>
            </w:r>
            <w:r w:rsidR="0091330C">
              <w:rPr>
                <w:rFonts w:ascii="Times New Roman" w:hAnsi="Times New Roman"/>
                <w:sz w:val="24"/>
                <w:szCs w:val="24"/>
              </w:rPr>
              <w:t>грн.;</w:t>
            </w:r>
          </w:p>
          <w:p w:rsidR="0091330C" w:rsidRDefault="00490EE4" w:rsidP="00444B59">
            <w:pPr>
              <w:tabs>
                <w:tab w:val="left" w:pos="143"/>
              </w:tabs>
              <w:spacing w:after="0"/>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606229">
              <w:rPr>
                <w:rFonts w:ascii="Times New Roman" w:hAnsi="Times New Roman"/>
                <w:sz w:val="24"/>
              </w:rPr>
              <w:t>;</w:t>
            </w:r>
            <w:r w:rsidR="00444B59">
              <w:rPr>
                <w:rFonts w:ascii="Times New Roman" w:hAnsi="Times New Roman"/>
                <w:sz w:val="24"/>
              </w:rPr>
              <w:t xml:space="preserve"> </w:t>
            </w:r>
          </w:p>
          <w:p w:rsidR="00521B29" w:rsidRPr="00B34992" w:rsidRDefault="00490EE4" w:rsidP="00B34992">
            <w:pPr>
              <w:tabs>
                <w:tab w:val="left" w:pos="143"/>
              </w:tabs>
              <w:spacing w:after="0" w:line="240" w:lineRule="auto"/>
              <w:ind w:firstLine="143"/>
              <w:jc w:val="both"/>
              <w:rPr>
                <w:rFonts w:ascii="Times New Roman" w:hAnsi="Times New Roman"/>
                <w:sz w:val="24"/>
                <w:lang w:val="ru-RU"/>
              </w:rPr>
            </w:pPr>
            <w:r>
              <w:rPr>
                <w:rFonts w:ascii="Times New Roman" w:hAnsi="Times New Roman"/>
                <w:sz w:val="24"/>
              </w:rPr>
              <w:t xml:space="preserve"> </w:t>
            </w:r>
            <w:r w:rsidR="0091330C" w:rsidRPr="007A367B">
              <w:rPr>
                <w:rFonts w:ascii="Times New Roman" w:hAnsi="Times New Roman"/>
                <w:sz w:val="24"/>
              </w:rPr>
              <w:t xml:space="preserve">надбавка до посадового окладу за ранг державного </w:t>
            </w:r>
            <w:r>
              <w:rPr>
                <w:rFonts w:ascii="Times New Roman" w:hAnsi="Times New Roman"/>
                <w:sz w:val="24"/>
              </w:rPr>
              <w:t xml:space="preserve"> </w:t>
            </w:r>
            <w:r w:rsidR="006823F7" w:rsidRPr="006823F7">
              <w:rPr>
                <w:rFonts w:ascii="Times New Roman" w:hAnsi="Times New Roman"/>
                <w:sz w:val="24"/>
                <w:lang w:val="ru-RU"/>
              </w:rPr>
              <w:t xml:space="preserve">   </w:t>
            </w:r>
            <w:r w:rsidR="00606229">
              <w:rPr>
                <w:rFonts w:ascii="Times New Roman" w:hAnsi="Times New Roman"/>
                <w:sz w:val="24"/>
              </w:rPr>
              <w:t>службовця¸ к</w:t>
            </w:r>
            <w:r w:rsidR="00606229" w:rsidRPr="00606229">
              <w:rPr>
                <w:rFonts w:ascii="Times New Roman" w:hAnsi="Times New Roman"/>
                <w:sz w:val="24"/>
              </w:rPr>
              <w:t>омпенсація за роботу, що передбачає доступ до державної таємниці</w:t>
            </w:r>
            <w:r w:rsidR="00606229">
              <w:rPr>
                <w:rFonts w:ascii="Times New Roman" w:hAnsi="Times New Roman"/>
                <w:sz w:val="24"/>
              </w:rPr>
              <w:t xml:space="preserve"> - </w:t>
            </w:r>
            <w:r w:rsidR="00606229" w:rsidRPr="00606229">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490EE4">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B34992" w:rsidP="00B34992">
            <w:pPr>
              <w:tabs>
                <w:tab w:val="left" w:pos="143"/>
              </w:tabs>
              <w:spacing w:after="0" w:line="240" w:lineRule="auto"/>
              <w:ind w:firstLine="143"/>
              <w:jc w:val="both"/>
              <w:rPr>
                <w:rFonts w:ascii="Times New Roman" w:hAnsi="Times New Roman"/>
                <w:sz w:val="24"/>
                <w:szCs w:val="24"/>
              </w:rPr>
            </w:pPr>
            <w:proofErr w:type="spellStart"/>
            <w:r w:rsidRPr="00B34992">
              <w:rPr>
                <w:rFonts w:ascii="Times New Roman" w:hAnsi="Times New Roman"/>
                <w:sz w:val="24"/>
                <w:szCs w:val="24"/>
              </w:rPr>
              <w:t>Строково</w:t>
            </w:r>
            <w:proofErr w:type="spellEnd"/>
            <w:r w:rsidRPr="00B34992">
              <w:rPr>
                <w:rFonts w:ascii="Times New Roman" w:hAnsi="Times New Roman"/>
                <w:sz w:val="24"/>
                <w:szCs w:val="24"/>
              </w:rPr>
              <w:t xml:space="preserve"> – на період відпустки основного працівника для догляду за дитиною  до </w:t>
            </w:r>
            <w:r w:rsidR="00174780">
              <w:rPr>
                <w:rFonts w:ascii="Times New Roman" w:hAnsi="Times New Roman"/>
                <w:sz w:val="24"/>
                <w:szCs w:val="24"/>
              </w:rPr>
              <w:t>досягнення нею 3-річного віку (</w:t>
            </w:r>
            <w:r w:rsidRPr="00B34992">
              <w:rPr>
                <w:rFonts w:ascii="Times New Roman" w:hAnsi="Times New Roman"/>
                <w:sz w:val="24"/>
                <w:szCs w:val="24"/>
              </w:rPr>
              <w:t xml:space="preserve">по </w:t>
            </w:r>
            <w:r>
              <w:rPr>
                <w:rFonts w:ascii="Times New Roman" w:hAnsi="Times New Roman"/>
                <w:sz w:val="24"/>
                <w:szCs w:val="24"/>
              </w:rPr>
              <w:t>23.12</w:t>
            </w:r>
            <w:r w:rsidRPr="00B34992">
              <w:rPr>
                <w:rFonts w:ascii="Times New Roman" w:hAnsi="Times New Roman"/>
                <w:sz w:val="24"/>
                <w:szCs w:val="24"/>
              </w:rPr>
              <w:t>.2023</w:t>
            </w:r>
            <w:r>
              <w:rPr>
                <w:rFonts w:ascii="Times New Roman" w:hAnsi="Times New Roman"/>
                <w:sz w:val="24"/>
                <w:szCs w:val="24"/>
              </w:rPr>
              <w:t>)</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490EE4">
        <w:trPr>
          <w:trHeight w:val="563"/>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193047">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17</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20</w:t>
            </w:r>
            <w:r w:rsidRPr="00B25208">
              <w:rPr>
                <w:rFonts w:ascii="Times New Roman" w:hAnsi="Times New Roman"/>
                <w:b/>
                <w:sz w:val="24"/>
                <w:szCs w:val="24"/>
              </w:rPr>
              <w:t xml:space="preserve"> квітня        2021 року включно</w:t>
            </w:r>
            <w:r w:rsidRPr="003B320D">
              <w:rPr>
                <w:rFonts w:ascii="Times New Roman" w:hAnsi="Times New Roman"/>
                <w:sz w:val="24"/>
                <w:szCs w:val="24"/>
              </w:rPr>
              <w:t>.</w:t>
            </w:r>
          </w:p>
        </w:tc>
      </w:tr>
      <w:tr w:rsidR="00D779EC" w:rsidRPr="007D31AE" w:rsidTr="00490EE4">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606229">
        <w:trPr>
          <w:trHeight w:val="1544"/>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 xml:space="preserve">26 </w:t>
            </w:r>
            <w:r w:rsidR="00CC775A">
              <w:rPr>
                <w:rFonts w:ascii="Times New Roman" w:hAnsi="Times New Roman"/>
                <w:b/>
                <w:sz w:val="24"/>
                <w:szCs w:val="24"/>
              </w:rPr>
              <w:t xml:space="preserve"> квітня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B65D2A">
              <w:rPr>
                <w:rFonts w:ascii="Times New Roman" w:hAnsi="Times New Roman"/>
                <w:b/>
                <w:sz w:val="24"/>
                <w:szCs w:val="24"/>
              </w:rPr>
              <w:t>1</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490EE4">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490EE4">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490EE4">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D779EC" w:rsidRPr="007D31AE" w:rsidTr="00490EE4">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F36E5C" w:rsidP="006823F7">
            <w:pPr>
              <w:tabs>
                <w:tab w:val="left" w:pos="143"/>
              </w:tabs>
              <w:spacing w:after="0" w:line="240" w:lineRule="auto"/>
              <w:ind w:firstLine="143"/>
              <w:jc w:val="both"/>
              <w:rPr>
                <w:rFonts w:ascii="Times New Roman" w:hAnsi="Times New Roman"/>
                <w:sz w:val="24"/>
                <w:szCs w:val="24"/>
              </w:rPr>
            </w:pPr>
            <w:r w:rsidRPr="007D31AE">
              <w:rPr>
                <w:rFonts w:ascii="Times New Roman" w:eastAsia="Times New Roman" w:hAnsi="Times New Roman"/>
                <w:sz w:val="24"/>
                <w:szCs w:val="24"/>
                <w:lang w:eastAsia="ru-RU"/>
              </w:rPr>
              <w:t>Вища освіта за освітньо-кваліфікаційним рівнем не нижче с</w:t>
            </w:r>
            <w:r w:rsidR="00D23DD3">
              <w:rPr>
                <w:rFonts w:ascii="Times New Roman" w:eastAsia="Times New Roman" w:hAnsi="Times New Roman"/>
                <w:sz w:val="24"/>
                <w:szCs w:val="24"/>
                <w:lang w:eastAsia="ru-RU"/>
              </w:rPr>
              <w:t xml:space="preserve">тупеня магістра (спеціальності: </w:t>
            </w:r>
            <w:r w:rsidRPr="007D31AE">
              <w:rPr>
                <w:rFonts w:ascii="Times New Roman" w:eastAsia="Times New Roman" w:hAnsi="Times New Roman"/>
                <w:sz w:val="24"/>
                <w:szCs w:val="24"/>
                <w:lang w:eastAsia="ru-RU"/>
              </w:rPr>
              <w:t>«Правознавство», «Право»)</w:t>
            </w:r>
          </w:p>
        </w:tc>
      </w:tr>
      <w:tr w:rsidR="00D779EC" w:rsidRPr="007D31AE" w:rsidTr="00490EE4">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D779EC" w:rsidRDefault="00A75FC4" w:rsidP="006823F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96065F" w:rsidRPr="007D31AE" w:rsidRDefault="0096065F" w:rsidP="0096065F">
            <w:pPr>
              <w:tabs>
                <w:tab w:val="left" w:pos="143"/>
              </w:tabs>
              <w:spacing w:after="0" w:line="240" w:lineRule="auto"/>
              <w:ind w:firstLine="143"/>
              <w:jc w:val="both"/>
              <w:rPr>
                <w:rFonts w:ascii="Times New Roman" w:hAnsi="Times New Roman"/>
                <w:sz w:val="24"/>
                <w:szCs w:val="24"/>
              </w:rPr>
            </w:pPr>
            <w:r>
              <w:rPr>
                <w:rFonts w:ascii="Times New Roman" w:eastAsia="Times New Roman" w:hAnsi="Times New Roman"/>
                <w:sz w:val="24"/>
                <w:szCs w:val="24"/>
                <w:lang w:eastAsia="ru-RU"/>
              </w:rPr>
              <w:t xml:space="preserve">Досвід роботи у сфері охорони </w:t>
            </w:r>
            <w:proofErr w:type="spellStart"/>
            <w:r w:rsidRPr="0096065F">
              <w:rPr>
                <w:rFonts w:ascii="Times New Roman" w:eastAsia="Times New Roman" w:hAnsi="Times New Roman"/>
                <w:sz w:val="24"/>
                <w:szCs w:val="24"/>
                <w:lang w:val="ru-RU" w:eastAsia="ru-RU"/>
              </w:rPr>
              <w:t>державної</w:t>
            </w:r>
            <w:proofErr w:type="spellEnd"/>
            <w:r w:rsidRPr="0096065F">
              <w:rPr>
                <w:rFonts w:ascii="Times New Roman" w:eastAsia="Times New Roman" w:hAnsi="Times New Roman"/>
                <w:sz w:val="24"/>
                <w:szCs w:val="24"/>
                <w:lang w:val="ru-RU" w:eastAsia="ru-RU"/>
              </w:rPr>
              <w:t xml:space="preserve"> </w:t>
            </w:r>
            <w:proofErr w:type="spellStart"/>
            <w:r w:rsidRPr="0096065F">
              <w:rPr>
                <w:rFonts w:ascii="Times New Roman" w:eastAsia="Times New Roman" w:hAnsi="Times New Roman"/>
                <w:sz w:val="24"/>
                <w:szCs w:val="24"/>
                <w:lang w:val="ru-RU" w:eastAsia="ru-RU"/>
              </w:rPr>
              <w:t>таємниці</w:t>
            </w:r>
            <w:proofErr w:type="spellEnd"/>
            <w:r w:rsidRPr="0096065F">
              <w:rPr>
                <w:rFonts w:ascii="Times New Roman" w:eastAsia="Times New Roman" w:hAnsi="Times New Roman"/>
                <w:sz w:val="24"/>
                <w:szCs w:val="24"/>
                <w:lang w:val="ru-RU" w:eastAsia="ru-RU"/>
              </w:rPr>
              <w:t xml:space="preserve"> не </w:t>
            </w:r>
            <w:proofErr w:type="spellStart"/>
            <w:r w:rsidRPr="0096065F">
              <w:rPr>
                <w:rFonts w:ascii="Times New Roman" w:eastAsia="Times New Roman" w:hAnsi="Times New Roman"/>
                <w:sz w:val="24"/>
                <w:szCs w:val="24"/>
                <w:lang w:val="ru-RU" w:eastAsia="ru-RU"/>
              </w:rPr>
              <w:t>менше</w:t>
            </w:r>
            <w:proofErr w:type="spellEnd"/>
            <w:r w:rsidRPr="0096065F">
              <w:rPr>
                <w:rFonts w:ascii="Times New Roman" w:eastAsia="Times New Roman" w:hAnsi="Times New Roman"/>
                <w:sz w:val="24"/>
                <w:szCs w:val="24"/>
                <w:lang w:val="ru-RU" w:eastAsia="ru-RU"/>
              </w:rPr>
              <w:t xml:space="preserve"> одного року.</w:t>
            </w:r>
          </w:p>
        </w:tc>
      </w:tr>
      <w:tr w:rsidR="00D779EC" w:rsidRPr="007D31AE" w:rsidTr="00490EE4">
        <w:trPr>
          <w:trHeight w:val="324"/>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Вільне володіння державною мовою</w:t>
            </w:r>
          </w:p>
        </w:tc>
      </w:tr>
      <w:tr w:rsidR="00D779EC" w:rsidRPr="007D31AE" w:rsidTr="00490EE4">
        <w:trPr>
          <w:trHeight w:val="372"/>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r w:rsidR="00C908EB" w:rsidRPr="007D31AE">
              <w:rPr>
                <w:rFonts w:ascii="Times New Roman" w:hAnsi="Times New Roman"/>
                <w:sz w:val="24"/>
                <w:szCs w:val="24"/>
              </w:rPr>
              <w:t>-</w:t>
            </w:r>
          </w:p>
        </w:tc>
      </w:tr>
      <w:tr w:rsidR="00D779EC" w:rsidRPr="007D31AE" w:rsidTr="00490EE4">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D779EC" w:rsidRPr="007D31AE" w:rsidTr="00490EE4">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D779EC" w:rsidRPr="007D31AE" w:rsidRDefault="00D779EC"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F36E5C"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F36E5C" w:rsidRPr="007D31AE" w:rsidRDefault="00F36E5C"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F36E5C" w:rsidRPr="007D31AE" w:rsidRDefault="00F36E5C" w:rsidP="00E755C0">
            <w:pPr>
              <w:pBdr>
                <w:top w:val="nil"/>
                <w:left w:val="nil"/>
                <w:bottom w:val="nil"/>
                <w:right w:val="nil"/>
                <w:between w:val="nil"/>
              </w:pBdr>
              <w:ind w:right="106"/>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Управління персоналом</w:t>
            </w:r>
          </w:p>
        </w:tc>
        <w:tc>
          <w:tcPr>
            <w:tcW w:w="5672" w:type="dxa"/>
            <w:tcBorders>
              <w:left w:val="single" w:sz="4" w:space="0" w:color="auto"/>
              <w:bottom w:val="single" w:sz="6" w:space="0" w:color="000000"/>
              <w:right w:val="single" w:sz="4" w:space="0" w:color="auto"/>
            </w:tcBorders>
          </w:tcPr>
          <w:p w:rsidR="00EE40BD" w:rsidRDefault="00A5173F" w:rsidP="00A5173F">
            <w:pPr>
              <w:widowControl w:val="0"/>
              <w:pBdr>
                <w:top w:val="nil"/>
                <w:left w:val="nil"/>
                <w:bottom w:val="nil"/>
                <w:right w:val="nil"/>
                <w:between w:val="nil"/>
              </w:pBdr>
              <w:tabs>
                <w:tab w:val="left" w:pos="0"/>
              </w:tabs>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sidR="00EE40BD" w:rsidRPr="00D23DD3">
              <w:rPr>
                <w:rFonts w:ascii="Times New Roman" w:hAnsi="Times New Roman"/>
                <w:sz w:val="24"/>
                <w:szCs w:val="24"/>
              </w:rPr>
              <w:t>організаторські здібності</w:t>
            </w:r>
            <w:r w:rsidR="00EE40BD">
              <w:rPr>
                <w:rFonts w:ascii="Times New Roman" w:hAnsi="Times New Roman"/>
                <w:sz w:val="24"/>
                <w:szCs w:val="24"/>
              </w:rPr>
              <w:t>;</w:t>
            </w:r>
          </w:p>
          <w:p w:rsidR="00A5173F" w:rsidRPr="007D31AE" w:rsidRDefault="00EE40BD" w:rsidP="00A5173F">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 </w:t>
            </w:r>
            <w:r w:rsidRPr="007D31AE">
              <w:rPr>
                <w:rFonts w:ascii="Times New Roman" w:eastAsia="Times New Roman" w:hAnsi="Times New Roman"/>
                <w:color w:val="000000"/>
                <w:sz w:val="24"/>
                <w:szCs w:val="24"/>
              </w:rPr>
              <w:t xml:space="preserve"> </w:t>
            </w:r>
            <w:r w:rsidR="00F36E5C" w:rsidRPr="007D31AE">
              <w:rPr>
                <w:rFonts w:ascii="Times New Roman" w:eastAsia="Times New Roman" w:hAnsi="Times New Roman"/>
                <w:color w:val="000000"/>
                <w:sz w:val="24"/>
                <w:szCs w:val="24"/>
              </w:rPr>
              <w:t>делегування та управління результатами;</w:t>
            </w:r>
          </w:p>
          <w:p w:rsidR="00F36E5C" w:rsidRPr="007D31AE" w:rsidRDefault="00A5173F" w:rsidP="00A5173F">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36E5C" w:rsidRPr="007D31AE">
              <w:rPr>
                <w:rFonts w:ascii="Times New Roman" w:eastAsia="Times New Roman" w:hAnsi="Times New Roman"/>
                <w:color w:val="000000"/>
                <w:sz w:val="24"/>
                <w:szCs w:val="24"/>
              </w:rPr>
              <w:t>стимулювання командної роботи та співробітництва</w:t>
            </w:r>
          </w:p>
        </w:tc>
      </w:tr>
      <w:tr w:rsidR="00F36E5C" w:rsidRPr="007D31AE" w:rsidTr="00EE40BD">
        <w:trPr>
          <w:trHeight w:val="690"/>
        </w:trPr>
        <w:tc>
          <w:tcPr>
            <w:tcW w:w="589" w:type="dxa"/>
            <w:tcBorders>
              <w:top w:val="single" w:sz="4" w:space="0" w:color="000000"/>
              <w:left w:val="single" w:sz="4" w:space="0" w:color="000000"/>
              <w:bottom w:val="single" w:sz="4" w:space="0" w:color="auto"/>
              <w:right w:val="single" w:sz="4" w:space="0" w:color="000000"/>
            </w:tcBorders>
          </w:tcPr>
          <w:p w:rsidR="00F36E5C" w:rsidRPr="007D31AE" w:rsidRDefault="00F36E5C"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F36E5C" w:rsidRPr="007D31AE" w:rsidRDefault="00F36E5C" w:rsidP="00F36E5C">
            <w:pPr>
              <w:pBdr>
                <w:top w:val="nil"/>
                <w:left w:val="nil"/>
                <w:bottom w:val="nil"/>
                <w:right w:val="nil"/>
                <w:between w:val="nil"/>
              </w:pBdr>
              <w:tabs>
                <w:tab w:val="left" w:pos="1903"/>
              </w:tabs>
              <w:spacing w:after="0"/>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Комунікація та</w:t>
            </w:r>
          </w:p>
          <w:p w:rsidR="00F36E5C" w:rsidRPr="007D31AE" w:rsidRDefault="00F36E5C" w:rsidP="00F36E5C">
            <w:pPr>
              <w:pBdr>
                <w:top w:val="nil"/>
                <w:left w:val="nil"/>
                <w:bottom w:val="nil"/>
                <w:right w:val="nil"/>
                <w:between w:val="nil"/>
              </w:pBdr>
              <w:spacing w:after="0"/>
              <w:rPr>
                <w:rFonts w:ascii="Times New Roman" w:eastAsia="Times New Roman" w:hAnsi="Times New Roman"/>
                <w:color w:val="000000"/>
                <w:sz w:val="24"/>
                <w:szCs w:val="24"/>
              </w:rPr>
            </w:pPr>
            <w:r w:rsidRPr="007D31AE">
              <w:rPr>
                <w:rFonts w:ascii="Times New Roman" w:eastAsia="Times New Roman" w:hAnsi="Times New Roman"/>
                <w:color w:val="000000"/>
                <w:sz w:val="24"/>
                <w:szCs w:val="24"/>
              </w:rPr>
              <w:t>взаємодія</w:t>
            </w:r>
          </w:p>
        </w:tc>
        <w:tc>
          <w:tcPr>
            <w:tcW w:w="5672" w:type="dxa"/>
            <w:tcBorders>
              <w:left w:val="single" w:sz="4" w:space="0" w:color="auto"/>
              <w:bottom w:val="single" w:sz="4" w:space="0" w:color="auto"/>
              <w:right w:val="single" w:sz="4" w:space="0" w:color="auto"/>
            </w:tcBorders>
          </w:tcPr>
          <w:p w:rsidR="00F36E5C" w:rsidRPr="007D31AE" w:rsidRDefault="00B65D2A" w:rsidP="00B65D2A">
            <w:pPr>
              <w:widowControl w:val="0"/>
              <w:pBdr>
                <w:top w:val="nil"/>
                <w:left w:val="nil"/>
                <w:bottom w:val="nil"/>
                <w:right w:val="nil"/>
                <w:between w:val="nil"/>
              </w:pBdr>
              <w:tabs>
                <w:tab w:val="left" w:pos="143"/>
                <w:tab w:val="left" w:pos="42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36E5C" w:rsidRPr="007D31AE">
              <w:rPr>
                <w:rFonts w:ascii="Times New Roman" w:eastAsia="Times New Roman" w:hAnsi="Times New Roman"/>
                <w:color w:val="000000"/>
                <w:sz w:val="24"/>
                <w:szCs w:val="24"/>
              </w:rPr>
              <w:t xml:space="preserve">здатність ефективно взаємодіяти – дослухатися, </w:t>
            </w:r>
            <w:r w:rsidR="00A5173F">
              <w:rPr>
                <w:rFonts w:ascii="Times New Roman" w:eastAsia="Times New Roman" w:hAnsi="Times New Roman"/>
                <w:color w:val="000000"/>
                <w:sz w:val="24"/>
                <w:szCs w:val="24"/>
              </w:rPr>
              <w:t xml:space="preserve"> </w:t>
            </w:r>
            <w:r w:rsidR="00193047">
              <w:rPr>
                <w:rFonts w:ascii="Times New Roman" w:eastAsia="Times New Roman" w:hAnsi="Times New Roman"/>
                <w:color w:val="000000"/>
                <w:sz w:val="24"/>
                <w:szCs w:val="24"/>
              </w:rPr>
              <w:t xml:space="preserve">  </w:t>
            </w:r>
            <w:r w:rsidR="00F36E5C" w:rsidRPr="007D31AE">
              <w:rPr>
                <w:rFonts w:ascii="Times New Roman" w:eastAsia="Times New Roman" w:hAnsi="Times New Roman"/>
                <w:color w:val="000000"/>
                <w:sz w:val="24"/>
                <w:szCs w:val="24"/>
              </w:rPr>
              <w:t>сприймати та викладати думку;</w:t>
            </w:r>
          </w:p>
          <w:p w:rsidR="00F36E5C" w:rsidRPr="00B65D2A" w:rsidRDefault="00A5173F" w:rsidP="00B65D2A">
            <w:pPr>
              <w:spacing w:after="0"/>
              <w:rPr>
                <w:rFonts w:ascii="Times New Roman" w:hAnsi="Times New Roman"/>
                <w:sz w:val="24"/>
                <w:szCs w:val="24"/>
              </w:rPr>
            </w:pPr>
            <w:r>
              <w:rPr>
                <w:rFonts w:ascii="Times New Roman" w:eastAsia="Times New Roman" w:hAnsi="Times New Roman"/>
                <w:color w:val="000000"/>
                <w:sz w:val="24"/>
                <w:szCs w:val="24"/>
              </w:rPr>
              <w:t xml:space="preserve">  </w:t>
            </w:r>
            <w:r w:rsidR="00B65D2A">
              <w:rPr>
                <w:rFonts w:ascii="Times New Roman" w:hAnsi="Times New Roman"/>
                <w:sz w:val="24"/>
                <w:szCs w:val="24"/>
              </w:rPr>
              <w:t>вміння розподіляти роботу;</w:t>
            </w:r>
          </w:p>
          <w:p w:rsidR="00F36E5C" w:rsidRPr="007D31AE" w:rsidRDefault="00A5173F" w:rsidP="00193047">
            <w:pPr>
              <w:widowControl w:val="0"/>
              <w:pBdr>
                <w:top w:val="nil"/>
                <w:left w:val="nil"/>
                <w:bottom w:val="nil"/>
                <w:right w:val="nil"/>
                <w:between w:val="nil"/>
              </w:pBdr>
              <w:tabs>
                <w:tab w:val="left" w:pos="143"/>
                <w:tab w:val="left" w:pos="35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36E5C" w:rsidRPr="007D31AE">
              <w:rPr>
                <w:rFonts w:ascii="Times New Roman" w:eastAsia="Times New Roman" w:hAnsi="Times New Roman"/>
                <w:color w:val="000000"/>
                <w:sz w:val="24"/>
                <w:szCs w:val="24"/>
              </w:rPr>
              <w:t xml:space="preserve">здатність переконувати інших за допомогою </w:t>
            </w:r>
            <w:r>
              <w:rPr>
                <w:rFonts w:ascii="Times New Roman" w:eastAsia="Times New Roman" w:hAnsi="Times New Roman"/>
                <w:color w:val="000000"/>
                <w:sz w:val="24"/>
                <w:szCs w:val="24"/>
              </w:rPr>
              <w:t xml:space="preserve">   </w:t>
            </w:r>
            <w:r w:rsidR="00F36E5C" w:rsidRPr="007D31AE">
              <w:rPr>
                <w:rFonts w:ascii="Times New Roman" w:eastAsia="Times New Roman" w:hAnsi="Times New Roman"/>
                <w:color w:val="000000"/>
                <w:sz w:val="24"/>
                <w:szCs w:val="24"/>
              </w:rPr>
              <w:t>аргументів та послідовної комунікації</w:t>
            </w:r>
          </w:p>
        </w:tc>
      </w:tr>
      <w:tr w:rsidR="00EE40BD" w:rsidRPr="007D31AE" w:rsidTr="003E14A8">
        <w:trPr>
          <w:trHeight w:val="1330"/>
        </w:trPr>
        <w:tc>
          <w:tcPr>
            <w:tcW w:w="589" w:type="dxa"/>
            <w:tcBorders>
              <w:top w:val="single" w:sz="4" w:space="0" w:color="000000"/>
              <w:left w:val="single" w:sz="4" w:space="0" w:color="000000"/>
              <w:right w:val="single" w:sz="4" w:space="0" w:color="000000"/>
            </w:tcBorders>
          </w:tcPr>
          <w:p w:rsidR="00EE40BD" w:rsidRPr="007D31AE" w:rsidRDefault="00EE40BD"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666" w:type="dxa"/>
            <w:tcBorders>
              <w:bottom w:val="single" w:sz="4" w:space="0" w:color="auto"/>
              <w:right w:val="single" w:sz="4" w:space="0" w:color="auto"/>
            </w:tcBorders>
          </w:tcPr>
          <w:p w:rsidR="00EE40BD" w:rsidRPr="00D23DD3" w:rsidRDefault="00EE40BD"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EE40BD" w:rsidRPr="00D23DD3" w:rsidRDefault="00EE40BD"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EE40BD" w:rsidRPr="00D23DD3" w:rsidRDefault="00EE40BD" w:rsidP="00231AB0">
            <w:pPr>
              <w:spacing w:after="0"/>
              <w:rPr>
                <w:rFonts w:ascii="Times New Roman" w:hAnsi="Times New Roman"/>
                <w:sz w:val="24"/>
                <w:szCs w:val="24"/>
              </w:rPr>
            </w:pPr>
            <w:r>
              <w:rPr>
                <w:rFonts w:ascii="Times New Roman" w:hAnsi="Times New Roman"/>
                <w:sz w:val="24"/>
                <w:szCs w:val="24"/>
              </w:rPr>
              <w:t xml:space="preserve"> аналітичні здібності, </w:t>
            </w:r>
            <w:r w:rsidRPr="00D23DD3">
              <w:rPr>
                <w:rFonts w:ascii="Times New Roman" w:hAnsi="Times New Roman"/>
                <w:sz w:val="24"/>
                <w:szCs w:val="24"/>
              </w:rPr>
              <w:t>лідерські якості</w:t>
            </w:r>
            <w:r>
              <w:rPr>
                <w:rFonts w:ascii="Times New Roman" w:hAnsi="Times New Roman"/>
                <w:sz w:val="24"/>
                <w:szCs w:val="24"/>
              </w:rPr>
              <w:t xml:space="preserve">, </w:t>
            </w:r>
            <w:r w:rsidRPr="00D23DD3">
              <w:rPr>
                <w:rFonts w:ascii="Times New Roman" w:hAnsi="Times New Roman"/>
                <w:sz w:val="24"/>
                <w:szCs w:val="24"/>
              </w:rPr>
              <w:t>виваженість;</w:t>
            </w:r>
          </w:p>
          <w:p w:rsidR="003E14A8" w:rsidRDefault="00B65D2A" w:rsidP="003E14A8">
            <w:pPr>
              <w:spacing w:after="0"/>
              <w:rPr>
                <w:rFonts w:ascii="Times New Roman" w:hAnsi="Times New Roman"/>
                <w:sz w:val="24"/>
                <w:szCs w:val="24"/>
              </w:rPr>
            </w:pPr>
            <w:r>
              <w:rPr>
                <w:rFonts w:ascii="Times New Roman" w:hAnsi="Times New Roman"/>
                <w:sz w:val="24"/>
                <w:szCs w:val="24"/>
              </w:rPr>
              <w:t xml:space="preserve"> </w:t>
            </w:r>
            <w:r w:rsidR="00EE40BD">
              <w:rPr>
                <w:rFonts w:ascii="Times New Roman" w:hAnsi="Times New Roman"/>
                <w:sz w:val="24"/>
                <w:szCs w:val="24"/>
              </w:rPr>
              <w:t>вимогливість,</w:t>
            </w:r>
            <w:r w:rsidR="00EE40BD" w:rsidRPr="00D23DD3">
              <w:rPr>
                <w:rFonts w:ascii="Times New Roman" w:hAnsi="Times New Roman"/>
                <w:sz w:val="24"/>
                <w:szCs w:val="24"/>
              </w:rPr>
              <w:t xml:space="preserve"> </w:t>
            </w:r>
            <w:proofErr w:type="spellStart"/>
            <w:r w:rsidR="00EE40BD" w:rsidRPr="00D23DD3">
              <w:rPr>
                <w:rFonts w:ascii="Times New Roman" w:hAnsi="Times New Roman"/>
                <w:sz w:val="24"/>
                <w:szCs w:val="24"/>
              </w:rPr>
              <w:t>стресостійкість</w:t>
            </w:r>
            <w:proofErr w:type="spellEnd"/>
            <w:r w:rsidR="00EE40BD" w:rsidRPr="00D23DD3">
              <w:rPr>
                <w:rFonts w:ascii="Times New Roman" w:hAnsi="Times New Roman"/>
                <w:sz w:val="24"/>
                <w:szCs w:val="24"/>
              </w:rPr>
              <w:t>;</w:t>
            </w:r>
          </w:p>
          <w:p w:rsidR="003E14A8" w:rsidRPr="00D23DD3" w:rsidRDefault="00B65D2A" w:rsidP="003E14A8">
            <w:pPr>
              <w:spacing w:after="0"/>
              <w:rPr>
                <w:rFonts w:ascii="Times New Roman" w:hAnsi="Times New Roman"/>
                <w:sz w:val="24"/>
                <w:szCs w:val="24"/>
              </w:rPr>
            </w:pPr>
            <w:r>
              <w:rPr>
                <w:rFonts w:ascii="Times New Roman" w:hAnsi="Times New Roman"/>
                <w:sz w:val="24"/>
                <w:szCs w:val="24"/>
              </w:rPr>
              <w:t xml:space="preserve"> </w:t>
            </w:r>
            <w:r w:rsidR="003E14A8" w:rsidRPr="00D23DD3">
              <w:rPr>
                <w:rFonts w:ascii="Times New Roman" w:hAnsi="Times New Roman"/>
                <w:sz w:val="24"/>
                <w:szCs w:val="24"/>
              </w:rPr>
              <w:t xml:space="preserve">високі моральні стандарти; </w:t>
            </w:r>
          </w:p>
          <w:p w:rsidR="003E14A8" w:rsidRPr="00D23DD3" w:rsidRDefault="00B65D2A" w:rsidP="003E14A8">
            <w:pPr>
              <w:spacing w:after="0"/>
              <w:rPr>
                <w:rFonts w:ascii="Times New Roman" w:hAnsi="Times New Roman"/>
                <w:sz w:val="24"/>
                <w:szCs w:val="24"/>
              </w:rPr>
            </w:pPr>
            <w:r>
              <w:rPr>
                <w:rFonts w:ascii="Times New Roman" w:hAnsi="Times New Roman"/>
                <w:sz w:val="24"/>
                <w:szCs w:val="24"/>
              </w:rPr>
              <w:t xml:space="preserve"> </w:t>
            </w:r>
            <w:r w:rsidR="003E14A8" w:rsidRPr="00D23DD3">
              <w:rPr>
                <w:rFonts w:ascii="Times New Roman" w:hAnsi="Times New Roman"/>
                <w:sz w:val="24"/>
                <w:szCs w:val="24"/>
              </w:rPr>
              <w:t>високий рівень внутрішньої культури;</w:t>
            </w:r>
          </w:p>
          <w:p w:rsidR="00EE40BD" w:rsidRPr="00D23DD3" w:rsidRDefault="00B65D2A" w:rsidP="003E14A8">
            <w:pPr>
              <w:spacing w:after="0"/>
              <w:rPr>
                <w:rFonts w:ascii="Times New Roman" w:hAnsi="Times New Roman"/>
                <w:sz w:val="24"/>
                <w:szCs w:val="24"/>
              </w:rPr>
            </w:pPr>
            <w:r>
              <w:rPr>
                <w:rFonts w:ascii="Times New Roman" w:hAnsi="Times New Roman"/>
                <w:sz w:val="24"/>
                <w:szCs w:val="24"/>
              </w:rPr>
              <w:t xml:space="preserve"> </w:t>
            </w:r>
            <w:r w:rsidR="003E14A8" w:rsidRPr="00D23DD3">
              <w:rPr>
                <w:rFonts w:ascii="Times New Roman" w:hAnsi="Times New Roman"/>
                <w:sz w:val="24"/>
                <w:szCs w:val="24"/>
              </w:rPr>
              <w:t xml:space="preserve">прагнення </w:t>
            </w:r>
            <w:r w:rsidR="003E14A8">
              <w:rPr>
                <w:rFonts w:ascii="Times New Roman" w:hAnsi="Times New Roman"/>
                <w:sz w:val="24"/>
                <w:szCs w:val="24"/>
              </w:rPr>
              <w:t>до постійного самовдосконалення.</w:t>
            </w:r>
          </w:p>
        </w:tc>
      </w:tr>
      <w:tr w:rsidR="00F36E5C"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F36E5C" w:rsidRPr="007D31AE" w:rsidRDefault="003E14A8"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F36E5C"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F36E5C" w:rsidRPr="007D31AE" w:rsidRDefault="00F36E5C"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F36E5C" w:rsidRPr="007D31AE" w:rsidRDefault="00F36E5C"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важливості якісного виконання своїх посадових обов'язків з дотриманням строків та встановлених процедур;</w:t>
            </w:r>
          </w:p>
          <w:p w:rsidR="00F36E5C" w:rsidRPr="007D31AE" w:rsidRDefault="00F36E5C"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 xml:space="preserve">усвідомлення рівня відповідальності під час підготовки і прийняття рішень, готовність нести відповідальність за можливі наслідки реалізації таких </w:t>
            </w:r>
            <w:r w:rsidRPr="007D31AE">
              <w:rPr>
                <w:rFonts w:ascii="Times New Roman" w:eastAsia="Times New Roman" w:hAnsi="Times New Roman"/>
                <w:sz w:val="24"/>
                <w:szCs w:val="24"/>
                <w:highlight w:val="white"/>
              </w:rPr>
              <w:lastRenderedPageBreak/>
              <w:t>рішень;</w:t>
            </w:r>
          </w:p>
          <w:p w:rsidR="00F36E5C" w:rsidRPr="007D31AE" w:rsidRDefault="00F36E5C"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F36E5C"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F36E5C" w:rsidRPr="007D31AE" w:rsidRDefault="00EE40BD"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r w:rsidR="00F36E5C"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F36E5C" w:rsidRPr="007D31AE" w:rsidRDefault="00F36E5C"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F36E5C" w:rsidRPr="007D31AE" w:rsidRDefault="00F36E5C"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36E5C" w:rsidRPr="007D31AE" w:rsidRDefault="00A5173F"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F36E5C"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F36E5C" w:rsidRPr="007D31AE" w:rsidRDefault="00A5173F"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F36E5C"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36E5C" w:rsidRPr="007D31AE" w:rsidRDefault="00A5173F"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00F36E5C"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EE40BD" w:rsidRPr="007D31AE" w:rsidRDefault="00A5173F"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F36E5C"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EE40BD" w:rsidRPr="007D31AE" w:rsidRDefault="00A5173F"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00F36E5C" w:rsidRPr="007D31AE">
              <w:rPr>
                <w:rFonts w:ascii="Times New Roman" w:eastAsia="Times New Roman" w:hAnsi="Times New Roman"/>
                <w:sz w:val="24"/>
                <w:szCs w:val="24"/>
                <w:highlight w:val="white"/>
              </w:rPr>
              <w:t>датність використовувати відкриті цифрові ресурси дл</w:t>
            </w:r>
            <w:r w:rsidR="00EE40BD">
              <w:rPr>
                <w:rFonts w:ascii="Times New Roman" w:eastAsia="Times New Roman" w:hAnsi="Times New Roman"/>
                <w:sz w:val="24"/>
                <w:szCs w:val="24"/>
                <w:highlight w:val="white"/>
              </w:rPr>
              <w:t>я власного професійного розвитку</w:t>
            </w:r>
          </w:p>
        </w:tc>
      </w:tr>
      <w:tr w:rsidR="00D779EC" w:rsidRPr="007D31AE" w:rsidTr="00490EE4">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Професійні знання</w:t>
            </w:r>
          </w:p>
        </w:tc>
      </w:tr>
      <w:tr w:rsidR="00D779EC" w:rsidRPr="007D31AE" w:rsidTr="00490EE4">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D779EC" w:rsidRPr="007D31AE" w:rsidTr="00490EE4">
        <w:trPr>
          <w:trHeight w:val="690"/>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D779EC" w:rsidRPr="007D31AE" w:rsidRDefault="00D779EC"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D779EC" w:rsidRPr="007D31AE" w:rsidRDefault="00D779EC"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D779EC" w:rsidRPr="007D31AE" w:rsidRDefault="00D779EC"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D779EC" w:rsidRPr="007D31AE" w:rsidRDefault="00D779EC"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 xml:space="preserve">Закон України «Про запобігання корупції» </w:t>
            </w:r>
            <w:r w:rsidR="00C908EB" w:rsidRPr="007D31AE">
              <w:rPr>
                <w:rFonts w:ascii="Times New Roman" w:hAnsi="Times New Roman"/>
                <w:sz w:val="24"/>
                <w:szCs w:val="24"/>
              </w:rPr>
              <w:t>та іншого законодавства</w:t>
            </w:r>
          </w:p>
        </w:tc>
      </w:tr>
      <w:tr w:rsidR="00D779EC" w:rsidRPr="007D31AE" w:rsidTr="00CA2ADA">
        <w:trPr>
          <w:trHeight w:val="2115"/>
        </w:trPr>
        <w:tc>
          <w:tcPr>
            <w:tcW w:w="589"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center"/>
              <w:rPr>
                <w:rFonts w:ascii="Times New Roman" w:hAnsi="Times New Roman"/>
                <w:sz w:val="24"/>
                <w:szCs w:val="24"/>
              </w:rPr>
            </w:pPr>
            <w:r w:rsidRPr="007D31AE">
              <w:rPr>
                <w:rFonts w:ascii="Times New Roman" w:hAnsi="Times New Roman"/>
                <w:sz w:val="24"/>
                <w:szCs w:val="24"/>
              </w:rPr>
              <w:t xml:space="preserve">2. </w:t>
            </w:r>
          </w:p>
        </w:tc>
        <w:tc>
          <w:tcPr>
            <w:tcW w:w="3666" w:type="dxa"/>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3E14A8" w:rsidRDefault="003E14A8" w:rsidP="00193047">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Закону України «Про інформацію»</w:t>
            </w:r>
          </w:p>
          <w:p w:rsidR="00F36E5C" w:rsidRPr="007D31AE" w:rsidRDefault="00F36E5C"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очищення влади»</w:t>
            </w:r>
          </w:p>
          <w:p w:rsidR="00F36E5C" w:rsidRPr="007D31AE" w:rsidRDefault="00F36E5C"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F36E5C" w:rsidRDefault="00F36E5C"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3E14A8" w:rsidRPr="00D23DD3" w:rsidRDefault="003E14A8" w:rsidP="003E14A8">
            <w:pPr>
              <w:spacing w:after="0"/>
              <w:rPr>
                <w:rFonts w:ascii="Times New Roman" w:hAnsi="Times New Roman"/>
                <w:sz w:val="24"/>
                <w:szCs w:val="24"/>
              </w:rPr>
            </w:pPr>
            <w:r w:rsidRPr="00D23DD3">
              <w:rPr>
                <w:rFonts w:ascii="Times New Roman" w:hAnsi="Times New Roman"/>
                <w:sz w:val="24"/>
                <w:szCs w:val="24"/>
              </w:rPr>
              <w:t>Єдина система статистики та аналізу роботи органів прокуратури України</w:t>
            </w:r>
          </w:p>
          <w:p w:rsidR="003E14A8" w:rsidRPr="00D23DD3" w:rsidRDefault="003E14A8" w:rsidP="003E14A8">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Поряд</w:t>
            </w:r>
            <w:r>
              <w:rPr>
                <w:rFonts w:ascii="Times New Roman" w:hAnsi="Times New Roman"/>
                <w:sz w:val="24"/>
                <w:szCs w:val="24"/>
              </w:rPr>
              <w:t>ок</w:t>
            </w:r>
            <w:r w:rsidRPr="00D23DD3">
              <w:rPr>
                <w:rFonts w:ascii="Times New Roman" w:hAnsi="Times New Roman"/>
                <w:sz w:val="24"/>
                <w:szCs w:val="24"/>
              </w:rPr>
              <w:t xml:space="preserve"> орг</w:t>
            </w:r>
            <w:r>
              <w:rPr>
                <w:rFonts w:ascii="Times New Roman" w:hAnsi="Times New Roman"/>
                <w:sz w:val="24"/>
                <w:szCs w:val="24"/>
              </w:rPr>
              <w:t xml:space="preserve">анізації та забезпечення режиму </w:t>
            </w:r>
            <w:r w:rsidRPr="00D23DD3">
              <w:rPr>
                <w:rFonts w:ascii="Times New Roman" w:hAnsi="Times New Roman"/>
                <w:sz w:val="24"/>
                <w:szCs w:val="24"/>
              </w:rPr>
              <w:t>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 (зі змінами та доповненнями)</w:t>
            </w:r>
          </w:p>
          <w:p w:rsidR="003E14A8" w:rsidRDefault="003E14A8" w:rsidP="003E14A8">
            <w:pPr>
              <w:spacing w:after="0"/>
              <w:jc w:val="both"/>
              <w:rPr>
                <w:rFonts w:ascii="Times New Roman" w:hAnsi="Times New Roman"/>
                <w:sz w:val="24"/>
                <w:szCs w:val="24"/>
              </w:rPr>
            </w:pPr>
            <w:r>
              <w:rPr>
                <w:rFonts w:ascii="Times New Roman" w:hAnsi="Times New Roman"/>
                <w:sz w:val="24"/>
                <w:szCs w:val="24"/>
              </w:rPr>
              <w:t xml:space="preserve">  Зв</w:t>
            </w:r>
            <w:r w:rsidR="00174780">
              <w:rPr>
                <w:rFonts w:ascii="Times New Roman" w:hAnsi="Times New Roman"/>
                <w:sz w:val="24"/>
                <w:szCs w:val="24"/>
              </w:rPr>
              <w:t>і</w:t>
            </w:r>
            <w:r>
              <w:rPr>
                <w:rFonts w:ascii="Times New Roman" w:hAnsi="Times New Roman"/>
                <w:sz w:val="24"/>
                <w:szCs w:val="24"/>
              </w:rPr>
              <w:t>д</w:t>
            </w:r>
            <w:r w:rsidRPr="00D23DD3">
              <w:rPr>
                <w:rFonts w:ascii="Times New Roman" w:hAnsi="Times New Roman"/>
                <w:sz w:val="24"/>
                <w:szCs w:val="24"/>
              </w:rPr>
              <w:t xml:space="preserve"> відомостей, що становлять державну таємницю </w:t>
            </w:r>
            <w:r w:rsidRPr="003E14A8">
              <w:rPr>
                <w:rFonts w:ascii="Times New Roman" w:hAnsi="Times New Roman"/>
                <w:bCs/>
                <w:sz w:val="24"/>
                <w:szCs w:val="24"/>
              </w:rPr>
              <w:t>з питань охорони державної таємниці,</w:t>
            </w:r>
            <w:r>
              <w:rPr>
                <w:rFonts w:ascii="Times New Roman" w:hAnsi="Times New Roman"/>
                <w:sz w:val="24"/>
                <w:szCs w:val="24"/>
              </w:rPr>
              <w:t xml:space="preserve"> </w:t>
            </w:r>
            <w:r w:rsidRPr="00D23DD3">
              <w:rPr>
                <w:rFonts w:ascii="Times New Roman" w:hAnsi="Times New Roman"/>
                <w:sz w:val="24"/>
                <w:szCs w:val="24"/>
              </w:rPr>
              <w:t xml:space="preserve">затвердженого наказом СБУ від </w:t>
            </w:r>
            <w:r w:rsidRPr="003E14A8">
              <w:rPr>
                <w:rFonts w:ascii="Times New Roman" w:hAnsi="Times New Roman"/>
                <w:sz w:val="24"/>
                <w:szCs w:val="24"/>
              </w:rPr>
              <w:t>23.12.2020  № 383</w:t>
            </w:r>
          </w:p>
          <w:p w:rsidR="003E14A8" w:rsidRDefault="003E14A8" w:rsidP="003E14A8">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r w:rsidRPr="003E14A8">
              <w:rPr>
                <w:rFonts w:ascii="Times New Roman" w:hAnsi="Times New Roman"/>
                <w:sz w:val="24"/>
                <w:szCs w:val="24"/>
              </w:rPr>
              <w:t xml:space="preserve"> </w:t>
            </w:r>
          </w:p>
          <w:p w:rsidR="003E14A8" w:rsidRPr="007D31AE" w:rsidRDefault="003E14A8" w:rsidP="00CA2ADA">
            <w:pPr>
              <w:spacing w:after="0"/>
              <w:jc w:val="both"/>
              <w:rPr>
                <w:rFonts w:ascii="Times New Roman" w:hAnsi="Times New Roman"/>
                <w:sz w:val="24"/>
                <w:szCs w:val="24"/>
              </w:rPr>
            </w:pPr>
            <w:r>
              <w:rPr>
                <w:rFonts w:ascii="Times New Roman" w:hAnsi="Times New Roman"/>
                <w:bCs/>
                <w:sz w:val="24"/>
                <w:szCs w:val="24"/>
              </w:rPr>
              <w:lastRenderedPageBreak/>
              <w:t xml:space="preserve">  </w:t>
            </w:r>
            <w:r w:rsidRPr="003E14A8">
              <w:rPr>
                <w:rFonts w:ascii="Times New Roman" w:hAnsi="Times New Roman"/>
                <w:bCs/>
                <w:sz w:val="24"/>
                <w:szCs w:val="24"/>
              </w:rPr>
              <w:t>Тимчасова інструкція з діловодства в органах прокуратури України, (зі змінами від 12.02.2019) </w:t>
            </w:r>
            <w:r w:rsidRPr="003E14A8">
              <w:rPr>
                <w:rFonts w:ascii="Times New Roman" w:hAnsi="Times New Roman"/>
                <w:sz w:val="24"/>
                <w:szCs w:val="24"/>
              </w:rPr>
              <w:t xml:space="preserve"> </w:t>
            </w:r>
          </w:p>
        </w:tc>
      </w:tr>
    </w:tbl>
    <w:p w:rsidR="00F16F21" w:rsidRPr="00F16F21" w:rsidRDefault="00F16F21" w:rsidP="00F16F21">
      <w:pPr>
        <w:spacing w:after="0"/>
        <w:rPr>
          <w:rFonts w:ascii="Times New Roman" w:hAnsi="Times New Roman"/>
          <w:sz w:val="24"/>
          <w:szCs w:val="24"/>
        </w:rPr>
      </w:pPr>
    </w:p>
    <w:p w:rsidR="00F16F21" w:rsidRPr="00F16F21" w:rsidRDefault="00F16F21" w:rsidP="00F16F21">
      <w:pPr>
        <w:spacing w:after="0"/>
        <w:rPr>
          <w:rFonts w:ascii="Times New Roman" w:hAnsi="Times New Roman"/>
          <w:sz w:val="24"/>
          <w:szCs w:val="24"/>
        </w:rPr>
      </w:pPr>
    </w:p>
    <w:p w:rsidR="00D23DD3" w:rsidRPr="00F16F21" w:rsidRDefault="00DA3F5E" w:rsidP="00F16F2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16F21" w:rsidRPr="00F16F21">
        <w:rPr>
          <w:rFonts w:ascii="Times New Roman" w:hAnsi="Times New Roman"/>
          <w:sz w:val="24"/>
          <w:szCs w:val="24"/>
        </w:rPr>
        <w:t xml:space="preserve">        </w:t>
      </w:r>
    </w:p>
    <w:p w:rsidR="00D779EC" w:rsidRPr="007D31AE" w:rsidRDefault="00F16F21" w:rsidP="00F16F21">
      <w:pPr>
        <w:spacing w:after="0"/>
        <w:rPr>
          <w:rFonts w:ascii="Times New Roman" w:hAnsi="Times New Roman"/>
          <w:sz w:val="24"/>
          <w:szCs w:val="24"/>
        </w:rPr>
      </w:pPr>
      <w:r w:rsidRPr="00F16F21">
        <w:rPr>
          <w:rFonts w:ascii="Times New Roman" w:hAnsi="Times New Roman"/>
          <w:sz w:val="24"/>
          <w:szCs w:val="24"/>
        </w:rPr>
        <w:t xml:space="preserve">              </w:t>
      </w:r>
    </w:p>
    <w:sectPr w:rsidR="00D779EC" w:rsidRPr="007D31AE"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3A94"/>
    <w:rsid w:val="00174780"/>
    <w:rsid w:val="001928A3"/>
    <w:rsid w:val="00193047"/>
    <w:rsid w:val="001A6774"/>
    <w:rsid w:val="001B5230"/>
    <w:rsid w:val="001D4836"/>
    <w:rsid w:val="0024420F"/>
    <w:rsid w:val="00252D1B"/>
    <w:rsid w:val="002A5B9A"/>
    <w:rsid w:val="002B5EA2"/>
    <w:rsid w:val="00307C2D"/>
    <w:rsid w:val="00310589"/>
    <w:rsid w:val="003272E0"/>
    <w:rsid w:val="00327EE6"/>
    <w:rsid w:val="00333B2C"/>
    <w:rsid w:val="003528BF"/>
    <w:rsid w:val="003651CC"/>
    <w:rsid w:val="003B0A84"/>
    <w:rsid w:val="003B320D"/>
    <w:rsid w:val="003C1F2D"/>
    <w:rsid w:val="003E072C"/>
    <w:rsid w:val="003E14A8"/>
    <w:rsid w:val="00444B59"/>
    <w:rsid w:val="00461B81"/>
    <w:rsid w:val="00490EE4"/>
    <w:rsid w:val="004A2C7C"/>
    <w:rsid w:val="004D7A03"/>
    <w:rsid w:val="00512296"/>
    <w:rsid w:val="00521B29"/>
    <w:rsid w:val="0052255F"/>
    <w:rsid w:val="005226AB"/>
    <w:rsid w:val="00542F83"/>
    <w:rsid w:val="00550B01"/>
    <w:rsid w:val="005C3AF4"/>
    <w:rsid w:val="005E1EB8"/>
    <w:rsid w:val="00606229"/>
    <w:rsid w:val="00633C3A"/>
    <w:rsid w:val="006349AB"/>
    <w:rsid w:val="0064786F"/>
    <w:rsid w:val="006571B7"/>
    <w:rsid w:val="006823F7"/>
    <w:rsid w:val="006856D4"/>
    <w:rsid w:val="006E0EDD"/>
    <w:rsid w:val="006E4DCE"/>
    <w:rsid w:val="007327E3"/>
    <w:rsid w:val="00757760"/>
    <w:rsid w:val="00783DE8"/>
    <w:rsid w:val="007D162A"/>
    <w:rsid w:val="007D31AE"/>
    <w:rsid w:val="007F17AD"/>
    <w:rsid w:val="0082218F"/>
    <w:rsid w:val="0086415C"/>
    <w:rsid w:val="00895504"/>
    <w:rsid w:val="008A67BF"/>
    <w:rsid w:val="008A69AD"/>
    <w:rsid w:val="008C7882"/>
    <w:rsid w:val="008F346C"/>
    <w:rsid w:val="008F5B10"/>
    <w:rsid w:val="00907F3D"/>
    <w:rsid w:val="0091330C"/>
    <w:rsid w:val="00922C62"/>
    <w:rsid w:val="00933FCD"/>
    <w:rsid w:val="00945700"/>
    <w:rsid w:val="00947A46"/>
    <w:rsid w:val="0096065F"/>
    <w:rsid w:val="00980959"/>
    <w:rsid w:val="009A7D2F"/>
    <w:rsid w:val="009E7C78"/>
    <w:rsid w:val="00A25BCB"/>
    <w:rsid w:val="00A36BE9"/>
    <w:rsid w:val="00A40A21"/>
    <w:rsid w:val="00A5173F"/>
    <w:rsid w:val="00A62160"/>
    <w:rsid w:val="00A67E7D"/>
    <w:rsid w:val="00A75FC4"/>
    <w:rsid w:val="00AC06E7"/>
    <w:rsid w:val="00B25208"/>
    <w:rsid w:val="00B340DE"/>
    <w:rsid w:val="00B34992"/>
    <w:rsid w:val="00B65D2A"/>
    <w:rsid w:val="00BA795F"/>
    <w:rsid w:val="00BB1F30"/>
    <w:rsid w:val="00BD02BB"/>
    <w:rsid w:val="00BD781D"/>
    <w:rsid w:val="00BE5FEE"/>
    <w:rsid w:val="00BF20A3"/>
    <w:rsid w:val="00C13933"/>
    <w:rsid w:val="00C3781B"/>
    <w:rsid w:val="00C47F82"/>
    <w:rsid w:val="00C54DD5"/>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34973"/>
    <w:rsid w:val="00E67F4E"/>
    <w:rsid w:val="00E755C0"/>
    <w:rsid w:val="00E94EC3"/>
    <w:rsid w:val="00EB214B"/>
    <w:rsid w:val="00EE40BD"/>
    <w:rsid w:val="00F16F21"/>
    <w:rsid w:val="00F36E5C"/>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E2DC-53D2-4946-AE98-C42C676C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6605</Words>
  <Characters>3766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8</cp:revision>
  <cp:lastPrinted>2021-04-12T08:41:00Z</cp:lastPrinted>
  <dcterms:created xsi:type="dcterms:W3CDTF">2021-04-09T11:30:00Z</dcterms:created>
  <dcterms:modified xsi:type="dcterms:W3CDTF">2021-04-13T11:19:00Z</dcterms:modified>
</cp:coreProperties>
</file>